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60" w:rsidRPr="00F119F3" w:rsidRDefault="003D2960" w:rsidP="00B63C03">
      <w:pPr>
        <w:spacing w:line="276" w:lineRule="auto"/>
        <w:ind w:firstLine="5670"/>
        <w:rPr>
          <w:rFonts w:ascii="Liberation Serif" w:hAnsi="Liberation Serif"/>
        </w:rPr>
      </w:pPr>
    </w:p>
    <w:p w:rsidR="00B63C03" w:rsidRPr="00703763" w:rsidRDefault="00B63C03" w:rsidP="00B63C03">
      <w:pPr>
        <w:spacing w:line="276" w:lineRule="auto"/>
        <w:ind w:left="5103"/>
        <w:rPr>
          <w:rFonts w:ascii="Liberation Serif" w:hAnsi="Liberation Serif"/>
        </w:rPr>
      </w:pPr>
      <w:bookmarkStart w:id="0" w:name="_GoBack"/>
      <w:bookmarkEnd w:id="0"/>
      <w:r w:rsidRPr="00703763">
        <w:rPr>
          <w:rFonts w:ascii="Liberation Serif" w:hAnsi="Liberation Serif"/>
        </w:rPr>
        <w:t xml:space="preserve">Приложение                                                                                                              к решению Думы Невьянского городского округа                                                                                                         от </w:t>
      </w:r>
      <w:r w:rsidR="00F119F3">
        <w:rPr>
          <w:rFonts w:ascii="Liberation Serif" w:hAnsi="Liberation Serif"/>
        </w:rPr>
        <w:t>24.05.2023</w:t>
      </w:r>
      <w:r w:rsidR="00490099" w:rsidRPr="00490099">
        <w:rPr>
          <w:rFonts w:ascii="Liberation Serif" w:hAnsi="Liberation Serif"/>
        </w:rPr>
        <w:t xml:space="preserve">      </w:t>
      </w:r>
      <w:r w:rsidRPr="00703763">
        <w:rPr>
          <w:rFonts w:ascii="Liberation Serif" w:hAnsi="Liberation Serif"/>
        </w:rPr>
        <w:t xml:space="preserve">№   </w:t>
      </w:r>
      <w:r w:rsidR="00F119F3">
        <w:rPr>
          <w:rFonts w:ascii="Liberation Serif" w:hAnsi="Liberation Serif"/>
        </w:rPr>
        <w:t>48</w:t>
      </w:r>
    </w:p>
    <w:p w:rsidR="00B63C03" w:rsidRPr="00703763" w:rsidRDefault="00B63C03" w:rsidP="00B63C03">
      <w:pPr>
        <w:spacing w:line="276" w:lineRule="auto"/>
        <w:rPr>
          <w:rFonts w:ascii="Liberation Serif" w:hAnsi="Liberation Serif"/>
          <w:b/>
          <w:sz w:val="20"/>
          <w:szCs w:val="20"/>
        </w:rPr>
      </w:pPr>
    </w:p>
    <w:p w:rsidR="00B63C03" w:rsidRPr="00703763" w:rsidRDefault="00B63C03" w:rsidP="00B63C03">
      <w:pPr>
        <w:spacing w:line="276" w:lineRule="auto"/>
        <w:jc w:val="center"/>
        <w:rPr>
          <w:rFonts w:ascii="Liberation Serif" w:hAnsi="Liberation Serif"/>
          <w:b/>
        </w:rPr>
      </w:pPr>
      <w:r w:rsidRPr="00703763">
        <w:rPr>
          <w:rFonts w:ascii="Liberation Serif" w:hAnsi="Liberation Serif"/>
          <w:b/>
        </w:rPr>
        <w:t xml:space="preserve">Информация </w:t>
      </w:r>
    </w:p>
    <w:p w:rsidR="00B63C03" w:rsidRPr="00703763" w:rsidRDefault="00B63C03" w:rsidP="00B63C03">
      <w:pPr>
        <w:spacing w:line="276" w:lineRule="auto"/>
        <w:jc w:val="center"/>
        <w:rPr>
          <w:rFonts w:ascii="Liberation Serif" w:hAnsi="Liberation Serif"/>
          <w:b/>
        </w:rPr>
      </w:pPr>
      <w:r w:rsidRPr="00703763">
        <w:rPr>
          <w:rFonts w:ascii="Liberation Serif" w:hAnsi="Liberation Serif"/>
          <w:b/>
          <w:color w:val="000000"/>
        </w:rPr>
        <w:t>о</w:t>
      </w:r>
      <w:r w:rsidRPr="00703763">
        <w:rPr>
          <w:rFonts w:ascii="Liberation Serif" w:hAnsi="Liberation Serif"/>
          <w:b/>
        </w:rPr>
        <w:t xml:space="preserve"> выполнении предписаний надзорных органов образовательными учреждениями Невьянского городского округа в условиях подготовки к новому 2023/2024 учебному году</w:t>
      </w:r>
    </w:p>
    <w:p w:rsidR="00B63C03" w:rsidRPr="00703763" w:rsidRDefault="00B63C03" w:rsidP="00B63C03">
      <w:pPr>
        <w:spacing w:line="276" w:lineRule="auto"/>
        <w:jc w:val="center"/>
        <w:rPr>
          <w:rFonts w:ascii="Liberation Serif" w:hAnsi="Liberation Serif"/>
          <w:b/>
        </w:rPr>
      </w:pPr>
    </w:p>
    <w:p w:rsidR="00B63C03" w:rsidRPr="00703763" w:rsidRDefault="00B63C03" w:rsidP="00B63C03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703763">
        <w:rPr>
          <w:rFonts w:ascii="Liberation Serif" w:hAnsi="Liberation Serif"/>
        </w:rPr>
        <w:t xml:space="preserve">Законом «Об образовании в Российской Федерации»       </w:t>
      </w:r>
      <w:r w:rsidR="00FB250C">
        <w:rPr>
          <w:rFonts w:ascii="Liberation Serif" w:hAnsi="Liberation Serif"/>
        </w:rPr>
        <w:t xml:space="preserve">                             от </w:t>
      </w:r>
      <w:r w:rsidRPr="00703763">
        <w:rPr>
          <w:rFonts w:ascii="Liberation Serif" w:hAnsi="Liberation Serif"/>
        </w:rPr>
        <w:t xml:space="preserve">29 декабря 2012 года  № 273-ФЗ  обеспечение содержания зданий, сооружений, обустройство прилегающих  к ним территорий  муниципальных образовательных организаций отнесено к компетенции органов местного самоуправления. Согласно статье 28 данного закона, </w:t>
      </w:r>
      <w:r w:rsidRPr="00703763">
        <w:rPr>
          <w:rFonts w:ascii="Liberation Serif" w:hAnsi="Liberation Serif" w:cs="Arial"/>
          <w:color w:val="000000"/>
          <w:sz w:val="23"/>
          <w:szCs w:val="23"/>
          <w:shd w:val="clear" w:color="auto" w:fill="FFFFFF"/>
        </w:rPr>
        <w:t xml:space="preserve"> </w:t>
      </w:r>
      <w:r w:rsidRPr="00703763">
        <w:rPr>
          <w:rFonts w:ascii="Liberation Serif" w:hAnsi="Liberation Serif"/>
          <w:color w:val="000000"/>
          <w:shd w:val="clear" w:color="auto" w:fill="FFFFFF"/>
        </w:rPr>
        <w:t>устанавливается обязанность образовательных организаций 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общеобразовательной организации.</w:t>
      </w:r>
      <w:r w:rsidRPr="00703763">
        <w:rPr>
          <w:rFonts w:ascii="Liberation Serif" w:hAnsi="Liberation Serif" w:cs="Arial"/>
          <w:color w:val="000000"/>
          <w:sz w:val="23"/>
          <w:szCs w:val="23"/>
          <w:shd w:val="clear" w:color="auto" w:fill="FFFFFF"/>
        </w:rPr>
        <w:t xml:space="preserve"> </w:t>
      </w:r>
      <w:r w:rsidRPr="00703763">
        <w:rPr>
          <w:rFonts w:ascii="Liberation Serif" w:hAnsi="Liberation Serif"/>
        </w:rPr>
        <w:t>Следовательно, должны быть созданы условия для соблюдения требований противопожарной, антитеррористической  безопасности,</w:t>
      </w:r>
      <w:r w:rsidRPr="00703763">
        <w:rPr>
          <w:rFonts w:ascii="Liberation Serif" w:hAnsi="Liberation Serif"/>
          <w:color w:val="000000"/>
        </w:rPr>
        <w:t xml:space="preserve"> правил и норм безопасности дорожного движения,</w:t>
      </w:r>
      <w:r w:rsidRPr="00703763">
        <w:rPr>
          <w:rFonts w:ascii="Liberation Serif" w:hAnsi="Liberation Serif"/>
        </w:rPr>
        <w:t xml:space="preserve"> санитарно-эпидемиологических требований и норм. Кроме того, в   2023 году в нормативно-правовые акты внесены изменения, связанные с усилением внимания к антитеррористической защищённости зданий и территории  образовательных организаций,  в которых предусмотрено возложение персональной ответственности на руководителей  за антитеррористическую безопасность вверенных им   образовательных учреждений.</w:t>
      </w:r>
    </w:p>
    <w:p w:rsidR="00B63C03" w:rsidRPr="00703763" w:rsidRDefault="00B63C03" w:rsidP="00B63C03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703763">
        <w:rPr>
          <w:rFonts w:ascii="Liberation Serif" w:hAnsi="Liberation Serif"/>
        </w:rPr>
        <w:t>Муниципальная система образования Невьянского городского округа включает в себя 28 муниципальных образовательных учреждений, подведомственных управлению образования. Из них, по типу реализуемых образовательных программ - 10 дошкольных образовательных учреждений,    15 общеобразовательных учреждений, 3 учреждения дополнительного образования. В 17 образовательных учреждениях при подготовке к 2023-2024 учебному году будут проведены работы по выполнению предписаний, представлений, предостережений и иных актов реагирования государственных надзорных органов, решений суда.</w:t>
      </w:r>
    </w:p>
    <w:p w:rsidR="00B63C03" w:rsidRPr="00703763" w:rsidRDefault="00B63C03" w:rsidP="00B63C03">
      <w:pPr>
        <w:spacing w:line="276" w:lineRule="auto"/>
        <w:ind w:firstLine="567"/>
        <w:jc w:val="both"/>
        <w:rPr>
          <w:rFonts w:ascii="Liberation Serif" w:hAnsi="Liberation Serif"/>
        </w:rPr>
      </w:pPr>
      <w:r w:rsidRPr="00703763">
        <w:rPr>
          <w:rFonts w:ascii="Liberation Serif" w:hAnsi="Liberation Serif"/>
          <w:color w:val="000000"/>
        </w:rPr>
        <w:lastRenderedPageBreak/>
        <w:t xml:space="preserve">Подготовка образовательных учреждений к новому </w:t>
      </w:r>
      <w:r w:rsidRPr="00703763">
        <w:rPr>
          <w:rFonts w:ascii="Liberation Serif" w:hAnsi="Liberation Serif"/>
          <w:color w:val="000000"/>
          <w:spacing w:val="9"/>
        </w:rPr>
        <w:t xml:space="preserve">учебному году </w:t>
      </w:r>
      <w:r w:rsidRPr="00703763">
        <w:rPr>
          <w:rFonts w:ascii="Liberation Serif" w:hAnsi="Liberation Serif"/>
          <w:color w:val="000000"/>
        </w:rPr>
        <w:t xml:space="preserve">также  включает </w:t>
      </w:r>
      <w:r w:rsidRPr="00703763">
        <w:rPr>
          <w:rFonts w:ascii="Liberation Serif" w:hAnsi="Liberation Serif"/>
          <w:color w:val="000000"/>
          <w:spacing w:val="17"/>
        </w:rPr>
        <w:t xml:space="preserve">проведение профилактических и ремонтных работ инженерных </w:t>
      </w:r>
      <w:r w:rsidRPr="00703763">
        <w:rPr>
          <w:rFonts w:ascii="Liberation Serif" w:hAnsi="Liberation Serif"/>
          <w:color w:val="000000"/>
          <w:spacing w:val="3"/>
        </w:rPr>
        <w:t xml:space="preserve">сетей, </w:t>
      </w:r>
      <w:r w:rsidRPr="00703763">
        <w:rPr>
          <w:rFonts w:ascii="Liberation Serif" w:hAnsi="Liberation Serif"/>
          <w:color w:val="000000"/>
          <w:spacing w:val="8"/>
        </w:rPr>
        <w:t>энергообеспечения для работы в отопительный период.</w:t>
      </w:r>
      <w:r w:rsidRPr="00703763">
        <w:rPr>
          <w:rFonts w:ascii="Liberation Serif" w:hAnsi="Liberation Serif"/>
          <w:i/>
          <w:iCs/>
          <w:color w:val="000000"/>
          <w:spacing w:val="8"/>
        </w:rPr>
        <w:br/>
      </w:r>
      <w:r w:rsidRPr="00703763">
        <w:rPr>
          <w:rFonts w:ascii="Liberation Serif" w:hAnsi="Liberation Serif"/>
        </w:rPr>
        <w:t xml:space="preserve">         Оценка готовности образовательных учреждений к новому 2023/2024 учебному году будет проводиться в соответствии с графиком приемки образовательных учреждений, согласование которого проведено в апреле 2023 года с надзорными органами и руководителями образовательных учреждений. Состав муниципальной межведомственной комиссии также прошел согласование с надзорными органами в соответствии с требованиями приказа Министерства общего и профессионального   образования    Свердловской  области  от  04.04.2023 № 418-Д «О подготовке государственных образовательных учреждений Свердловской области, подведомственных Министерству образования и молодежной политики Свердловской области, и муниципальных образовательных организаций, расположенных на территории Свердловской области, к 2023/2024 учебному году». Согласно графику приёмка будет состоять из 3 этапов: 1 этап -до 14 июля 2023 года, 2 этап до 1 августа 2023,3 этап -до 15 августа 2023 года.</w:t>
      </w:r>
    </w:p>
    <w:p w:rsidR="00B63C03" w:rsidRPr="00703763" w:rsidRDefault="00B63C03" w:rsidP="00B63C03">
      <w:pPr>
        <w:spacing w:line="276" w:lineRule="auto"/>
        <w:ind w:firstLine="567"/>
        <w:jc w:val="both"/>
        <w:rPr>
          <w:rFonts w:ascii="Liberation Serif" w:hAnsi="Liberation Serif"/>
          <w:color w:val="000000"/>
        </w:rPr>
      </w:pPr>
      <w:r w:rsidRPr="00703763">
        <w:rPr>
          <w:rFonts w:ascii="Liberation Serif" w:hAnsi="Liberation Serif"/>
          <w:color w:val="000000"/>
        </w:rPr>
        <w:t>Финансирование работ на выполнение предписаний надзорных органов в образовательных учреждениях осуществляется в рамках муниципальной программы, утвержденной постановлением администрации Невьянского городского округа    от 24.10.2014 № 2636-п «Об утверждении муниципальной программы «Развитие системы образования Невьянского городского округа до 2024 года».</w:t>
      </w:r>
    </w:p>
    <w:p w:rsidR="00B63C03" w:rsidRPr="00703763" w:rsidRDefault="00B63C03" w:rsidP="00B63C03">
      <w:pPr>
        <w:shd w:val="clear" w:color="auto" w:fill="FFFFFF"/>
        <w:tabs>
          <w:tab w:val="left" w:pos="7330"/>
        </w:tabs>
        <w:spacing w:line="276" w:lineRule="auto"/>
        <w:ind w:firstLine="567"/>
        <w:jc w:val="both"/>
        <w:rPr>
          <w:rFonts w:ascii="Liberation Serif" w:hAnsi="Liberation Serif"/>
          <w:color w:val="000000"/>
        </w:rPr>
      </w:pPr>
      <w:r w:rsidRPr="00703763">
        <w:rPr>
          <w:rFonts w:ascii="Liberation Serif" w:hAnsi="Liberation Serif"/>
          <w:color w:val="000000"/>
          <w:spacing w:val="11"/>
        </w:rPr>
        <w:t>Н</w:t>
      </w:r>
      <w:r w:rsidRPr="00703763">
        <w:rPr>
          <w:rFonts w:ascii="Liberation Serif" w:hAnsi="Liberation Serif"/>
          <w:color w:val="000000"/>
        </w:rPr>
        <w:t xml:space="preserve">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образовательных учреждений в подведомственные Управлению образования Невьянского городского округа </w:t>
      </w:r>
      <w:r>
        <w:rPr>
          <w:rFonts w:ascii="Liberation Serif" w:hAnsi="Liberation Serif"/>
          <w:color w:val="000000"/>
        </w:rPr>
        <w:t xml:space="preserve">учреждения </w:t>
      </w:r>
      <w:r w:rsidRPr="00703763">
        <w:rPr>
          <w:rFonts w:ascii="Liberation Serif" w:hAnsi="Liberation Serif"/>
          <w:color w:val="000000"/>
        </w:rPr>
        <w:t xml:space="preserve"> в  этом году направлено       22 019 703 руб</w:t>
      </w:r>
      <w:r>
        <w:rPr>
          <w:rFonts w:ascii="Liberation Serif" w:hAnsi="Liberation Serif"/>
          <w:color w:val="000000"/>
        </w:rPr>
        <w:t>лей</w:t>
      </w:r>
      <w:r w:rsidRPr="00703763">
        <w:rPr>
          <w:rFonts w:ascii="Liberation Serif" w:hAnsi="Liberation Serif"/>
          <w:color w:val="000000"/>
        </w:rPr>
        <w:t>.  Дополнительно, в связи с появившимися в 2023 году  новыми  предписаниями, представлениями,   предостережениями, решениями суда со сроком исполнения  в  2023 году, в период марта-апреля 2023 года выделено 817018 рублей.</w:t>
      </w:r>
      <w:r>
        <w:rPr>
          <w:rFonts w:ascii="Liberation Serif" w:hAnsi="Liberation Serif"/>
          <w:color w:val="000000"/>
        </w:rPr>
        <w:t xml:space="preserve"> Всего образовательным организациям выдано 13 предписаний по линии Госпожнадзора, 9 -</w:t>
      </w:r>
      <w:r w:rsidR="00D43726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Роспотребнадзора, 7 -</w:t>
      </w:r>
      <w:r w:rsidR="00D43726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решений суда и актов реагирования  прокуратуры.</w:t>
      </w:r>
    </w:p>
    <w:p w:rsidR="008B71A2" w:rsidRPr="00703763" w:rsidRDefault="00FB250C" w:rsidP="00FB250C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="00B63C03" w:rsidRPr="00703763">
        <w:rPr>
          <w:rFonts w:ascii="Liberation Serif" w:hAnsi="Liberation Serif"/>
        </w:rPr>
        <w:t>С начала финансового 2023 года по состоянию на 05.05.2023 в образовательных учреждениях Невьянского город</w:t>
      </w:r>
      <w:r w:rsidR="008B71A2">
        <w:rPr>
          <w:rFonts w:ascii="Liberation Serif" w:hAnsi="Liberation Serif"/>
        </w:rPr>
        <w:t>ского округа проведены</w:t>
      </w:r>
      <w:r>
        <w:rPr>
          <w:rFonts w:ascii="Liberation Serif" w:hAnsi="Liberation Serif"/>
        </w:rPr>
        <w:t xml:space="preserve"> и </w:t>
      </w:r>
      <w:r w:rsidR="0062160D">
        <w:rPr>
          <w:rFonts w:ascii="Liberation Serif" w:hAnsi="Liberation Serif"/>
        </w:rPr>
        <w:t>проводятся</w:t>
      </w:r>
      <w:r w:rsidR="008B71A2">
        <w:rPr>
          <w:rFonts w:ascii="Liberation Serif" w:hAnsi="Liberation Serif"/>
        </w:rPr>
        <w:t xml:space="preserve"> </w:t>
      </w:r>
      <w:r w:rsidR="00B63C03" w:rsidRPr="00703763">
        <w:rPr>
          <w:rFonts w:ascii="Liberation Serif" w:hAnsi="Liberation Serif"/>
        </w:rPr>
        <w:t xml:space="preserve"> ремонтные работы и иные мероприятия, направленные на исполнение  предписаний  </w:t>
      </w:r>
      <w:r w:rsidR="00B63C03" w:rsidRPr="00703763">
        <w:rPr>
          <w:rFonts w:ascii="Liberation Serif" w:hAnsi="Liberation Serif"/>
          <w:color w:val="000000"/>
        </w:rPr>
        <w:t>Роспотребнадзора, Госпожнадзора, ГИББД и др.</w:t>
      </w:r>
      <w:r w:rsidR="00B63C03" w:rsidRPr="00703763">
        <w:rPr>
          <w:rFonts w:ascii="Liberation Serif" w:hAnsi="Liberation Serif"/>
        </w:rPr>
        <w:t xml:space="preserve"> в условиях по</w:t>
      </w:r>
      <w:r>
        <w:rPr>
          <w:rFonts w:ascii="Liberation Serif" w:hAnsi="Liberation Serif"/>
        </w:rPr>
        <w:t>дготовки к новому учебному году</w:t>
      </w:r>
      <w:r w:rsidR="00B63C03" w:rsidRPr="006330B5">
        <w:rPr>
          <w:rFonts w:ascii="Liberation Serif" w:hAnsi="Liberation Serif"/>
        </w:rPr>
        <w:t xml:space="preserve"> </w:t>
      </w:r>
      <w:r w:rsidR="008B71A2">
        <w:rPr>
          <w:rFonts w:ascii="Liberation Serif" w:hAnsi="Liberation Serif"/>
        </w:rPr>
        <w:t>(см. приложение  №</w:t>
      </w:r>
      <w:r>
        <w:rPr>
          <w:rFonts w:ascii="Liberation Serif" w:hAnsi="Liberation Serif"/>
        </w:rPr>
        <w:t xml:space="preserve"> </w:t>
      </w:r>
      <w:r w:rsidR="008B71A2">
        <w:rPr>
          <w:rFonts w:ascii="Liberation Serif" w:hAnsi="Liberation Serif"/>
        </w:rPr>
        <w:t>1)</w:t>
      </w:r>
      <w:r>
        <w:rPr>
          <w:rFonts w:ascii="Liberation Serif" w:hAnsi="Liberation Serif"/>
        </w:rPr>
        <w:t>.</w:t>
      </w:r>
    </w:p>
    <w:p w:rsidR="008B71A2" w:rsidRPr="00703763" w:rsidRDefault="008B71A2" w:rsidP="008B71A2">
      <w:pPr>
        <w:shd w:val="clear" w:color="auto" w:fill="FFFFFF"/>
        <w:spacing w:line="276" w:lineRule="auto"/>
        <w:ind w:firstLine="509"/>
        <w:jc w:val="both"/>
        <w:rPr>
          <w:rFonts w:ascii="Liberation Serif" w:hAnsi="Liberation Serif"/>
          <w:color w:val="000000"/>
        </w:rPr>
      </w:pPr>
      <w:r w:rsidRPr="00703763">
        <w:rPr>
          <w:rFonts w:ascii="Liberation Serif" w:hAnsi="Liberation Serif"/>
          <w:color w:val="000000"/>
        </w:rPr>
        <w:lastRenderedPageBreak/>
        <w:t>На сегодняшний момент отложено выполнение предписаний Госпожнадзора  по установке ограждений на кровле здания и установке межэтажных  противопожарных дверей в МБОУ СОШ № 3 и МАОУ СОШ № 2 в связи с тем,  что здания  этих школ являются объектами культурного наследия, требуется согласования работ с управлением охраны памятников культуры,  и данные работы планируется выполнить после  включения  этих  образовательных учреждений в Федеральную программу капитального ремонта зданий образовательных учреждений в 2023 и 2024 году.</w:t>
      </w:r>
    </w:p>
    <w:p w:rsidR="008B71A2" w:rsidRPr="00703763" w:rsidRDefault="00FB250C" w:rsidP="008B71A2">
      <w:pPr>
        <w:shd w:val="clear" w:color="auto" w:fill="FFFFFF"/>
        <w:spacing w:line="276" w:lineRule="auto"/>
        <w:ind w:firstLine="5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</w:t>
      </w:r>
      <w:r w:rsidR="008B71A2" w:rsidRPr="00703763">
        <w:rPr>
          <w:rFonts w:ascii="Liberation Serif" w:hAnsi="Liberation Serif"/>
          <w:color w:val="000000"/>
        </w:rPr>
        <w:t xml:space="preserve">Все усилия муниципалитета, Управления образования, руководителей образовательных организаций в ходе подготовки к новому 2023-2024 учебному году  будут направлены  на совершенствование условий осуществления образовательного процесса в соответствии с требованиями </w:t>
      </w:r>
      <w:r w:rsidR="00BC793A">
        <w:rPr>
          <w:rFonts w:ascii="Liberation Serif" w:hAnsi="Liberation Serif"/>
          <w:color w:val="000000"/>
        </w:rPr>
        <w:t>санитарно – эпидемиологических норм и правил (</w:t>
      </w:r>
      <w:r w:rsidR="008B71A2" w:rsidRPr="00703763">
        <w:rPr>
          <w:rFonts w:ascii="Liberation Serif" w:hAnsi="Liberation Serif"/>
          <w:color w:val="000000"/>
        </w:rPr>
        <w:t>СанПиН</w:t>
      </w:r>
      <w:r w:rsidR="00BC793A">
        <w:rPr>
          <w:rFonts w:ascii="Liberation Serif" w:hAnsi="Liberation Serif"/>
          <w:color w:val="000000"/>
        </w:rPr>
        <w:t>)</w:t>
      </w:r>
      <w:r w:rsidR="008B71A2" w:rsidRPr="00703763">
        <w:rPr>
          <w:rFonts w:ascii="Liberation Serif" w:hAnsi="Liberation Serif"/>
          <w:color w:val="000000"/>
        </w:rPr>
        <w:t>,</w:t>
      </w:r>
      <w:r w:rsidR="00BC793A">
        <w:rPr>
          <w:rFonts w:ascii="Liberation Serif" w:hAnsi="Liberation Serif"/>
          <w:color w:val="000000"/>
        </w:rPr>
        <w:t xml:space="preserve"> строительных норм и правил (</w:t>
      </w:r>
      <w:r w:rsidR="00AE3D71">
        <w:rPr>
          <w:rFonts w:ascii="Liberation Serif" w:hAnsi="Liberation Serif"/>
          <w:color w:val="000000"/>
        </w:rPr>
        <w:t>CHИП</w:t>
      </w:r>
      <w:r w:rsidR="00BC793A">
        <w:rPr>
          <w:rFonts w:ascii="Liberation Serif" w:hAnsi="Liberation Serif"/>
          <w:color w:val="000000"/>
        </w:rPr>
        <w:t>)</w:t>
      </w:r>
      <w:r w:rsidR="008B71A2" w:rsidRPr="00703763">
        <w:rPr>
          <w:rFonts w:ascii="Liberation Serif" w:hAnsi="Liberation Serif"/>
          <w:color w:val="000000"/>
        </w:rPr>
        <w:t>, норм противопожарной и антитеррористической безопасности, правил и норм безопасности дорожного движения.</w:t>
      </w: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</w:rPr>
      </w:pPr>
      <w:r w:rsidRPr="00703763">
        <w:rPr>
          <w:rFonts w:ascii="Liberation Serif" w:hAnsi="Liberation Serif"/>
          <w:color w:val="000000"/>
        </w:rPr>
        <w:t xml:space="preserve">       </w:t>
      </w:r>
      <w:r w:rsidRPr="00703763">
        <w:rPr>
          <w:rFonts w:ascii="Liberation Serif" w:hAnsi="Liberation Serif"/>
        </w:rPr>
        <w:t xml:space="preserve"> </w:t>
      </w:r>
    </w:p>
    <w:p w:rsidR="00AE3D71" w:rsidRDefault="00AE3D71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p w:rsidR="008B71A2" w:rsidRPr="00703763" w:rsidRDefault="008B71A2" w:rsidP="008B71A2">
      <w:pPr>
        <w:shd w:val="clear" w:color="auto" w:fill="FFFFFF"/>
        <w:tabs>
          <w:tab w:val="left" w:pos="7330"/>
        </w:tabs>
        <w:spacing w:line="276" w:lineRule="auto"/>
        <w:jc w:val="both"/>
        <w:rPr>
          <w:rFonts w:ascii="Liberation Serif" w:hAnsi="Liberation Serif"/>
          <w:color w:val="000000"/>
        </w:rPr>
      </w:pPr>
    </w:p>
    <w:sectPr w:rsidR="008B71A2" w:rsidRPr="00703763" w:rsidSect="00490099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84" w:rsidRDefault="00354384">
      <w:r>
        <w:separator/>
      </w:r>
    </w:p>
  </w:endnote>
  <w:endnote w:type="continuationSeparator" w:id="0">
    <w:p w:rsidR="00354384" w:rsidRDefault="0035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D4" w:rsidRDefault="00B63C0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76B4C">
      <w:rPr>
        <w:noProof/>
      </w:rPr>
      <w:t>2</w:t>
    </w:r>
    <w:r>
      <w:fldChar w:fldCharType="end"/>
    </w:r>
  </w:p>
  <w:p w:rsidR="00EF7AD4" w:rsidRDefault="003543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84" w:rsidRDefault="00354384">
      <w:r>
        <w:separator/>
      </w:r>
    </w:p>
  </w:footnote>
  <w:footnote w:type="continuationSeparator" w:id="0">
    <w:p w:rsidR="00354384" w:rsidRDefault="0035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B1D"/>
    <w:multiLevelType w:val="hybridMultilevel"/>
    <w:tmpl w:val="57A2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626E3"/>
    <w:multiLevelType w:val="hybridMultilevel"/>
    <w:tmpl w:val="8290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178B4"/>
    <w:multiLevelType w:val="hybridMultilevel"/>
    <w:tmpl w:val="B9A2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93F7A"/>
    <w:multiLevelType w:val="hybridMultilevel"/>
    <w:tmpl w:val="09543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3"/>
    <w:rsid w:val="00080F4D"/>
    <w:rsid w:val="00354384"/>
    <w:rsid w:val="003D2960"/>
    <w:rsid w:val="00426A8A"/>
    <w:rsid w:val="00490099"/>
    <w:rsid w:val="004D5917"/>
    <w:rsid w:val="0062160D"/>
    <w:rsid w:val="00702C53"/>
    <w:rsid w:val="008B71A2"/>
    <w:rsid w:val="00976B4C"/>
    <w:rsid w:val="00AB3454"/>
    <w:rsid w:val="00AE3D71"/>
    <w:rsid w:val="00B63C03"/>
    <w:rsid w:val="00BC793A"/>
    <w:rsid w:val="00C041FB"/>
    <w:rsid w:val="00C201BE"/>
    <w:rsid w:val="00CF1C2A"/>
    <w:rsid w:val="00D43726"/>
    <w:rsid w:val="00D5037F"/>
    <w:rsid w:val="00EB2AF1"/>
    <w:rsid w:val="00F119F3"/>
    <w:rsid w:val="00F27D65"/>
    <w:rsid w:val="00F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5pt">
    <w:name w:val="Основной текст (2) + 10;5 pt;Не полужирный"/>
    <w:rsid w:val="00B63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B63C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3C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A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5pt">
    <w:name w:val="Основной текст (2) + 10;5 pt;Не полужирный"/>
    <w:rsid w:val="00B63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B63C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3C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A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C78D-54D6-43F6-AEF8-4458128C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SHADRINA</dc:creator>
  <cp:lastModifiedBy>hunter</cp:lastModifiedBy>
  <cp:revision>2</cp:revision>
  <cp:lastPrinted>2023-05-16T09:06:00Z</cp:lastPrinted>
  <dcterms:created xsi:type="dcterms:W3CDTF">2023-06-07T18:29:00Z</dcterms:created>
  <dcterms:modified xsi:type="dcterms:W3CDTF">2023-06-07T18:29:00Z</dcterms:modified>
</cp:coreProperties>
</file>