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47E" w:rsidRPr="0067047E" w:rsidRDefault="0067047E" w:rsidP="0067047E">
      <w:pPr>
        <w:tabs>
          <w:tab w:val="left" w:pos="12780"/>
          <w:tab w:val="left" w:pos="12960"/>
        </w:tabs>
        <w:jc w:val="center"/>
        <w:rPr>
          <w:rFonts w:ascii="Liberation Serif" w:hAnsi="Liberation Serif"/>
          <w:bCs/>
          <w:color w:val="000000"/>
        </w:rPr>
      </w:pPr>
      <w:r w:rsidRPr="0067047E">
        <w:rPr>
          <w:rFonts w:ascii="Liberation Serif" w:hAnsi="Liberation Serif"/>
          <w:bCs/>
          <w:color w:val="000000"/>
        </w:rPr>
        <w:t xml:space="preserve">Карта </w:t>
      </w:r>
      <w:proofErr w:type="spellStart"/>
      <w:r w:rsidRPr="0067047E">
        <w:rPr>
          <w:rFonts w:ascii="Liberation Serif" w:hAnsi="Liberation Serif"/>
          <w:bCs/>
          <w:color w:val="000000"/>
        </w:rPr>
        <w:t>комплаенс</w:t>
      </w:r>
      <w:proofErr w:type="spellEnd"/>
      <w:r w:rsidRPr="0067047E">
        <w:rPr>
          <w:rFonts w:ascii="Liberation Serif" w:hAnsi="Liberation Serif"/>
          <w:bCs/>
          <w:color w:val="000000"/>
        </w:rPr>
        <w:t xml:space="preserve"> - рисков</w:t>
      </w:r>
    </w:p>
    <w:p w:rsidR="0067047E" w:rsidRPr="0067047E" w:rsidRDefault="0067047E" w:rsidP="0067047E">
      <w:pPr>
        <w:jc w:val="center"/>
        <w:rPr>
          <w:rFonts w:ascii="Liberation Serif" w:hAnsi="Liberation Serif"/>
          <w:color w:val="000000"/>
        </w:rPr>
      </w:pPr>
      <w:r w:rsidRPr="0067047E">
        <w:rPr>
          <w:rFonts w:ascii="Liberation Serif" w:hAnsi="Liberation Serif"/>
          <w:bCs/>
          <w:color w:val="000000"/>
        </w:rPr>
        <w:t xml:space="preserve">в </w:t>
      </w:r>
      <w:r w:rsidR="003402CD">
        <w:rPr>
          <w:rFonts w:ascii="Liberation Serif" w:hAnsi="Liberation Serif"/>
          <w:bCs/>
          <w:color w:val="000000"/>
        </w:rPr>
        <w:t>Думе Невьянского городского округа</w:t>
      </w:r>
      <w:r w:rsidRPr="0067047E">
        <w:rPr>
          <w:rFonts w:ascii="Liberation Serif" w:hAnsi="Liberation Serif"/>
          <w:color w:val="000000"/>
        </w:rPr>
        <w:br/>
      </w:r>
      <w:r w:rsidR="00CE41FA">
        <w:rPr>
          <w:rFonts w:ascii="Liberation Serif" w:hAnsi="Liberation Serif"/>
          <w:bCs/>
          <w:color w:val="000000"/>
        </w:rPr>
        <w:t>на 202</w:t>
      </w:r>
      <w:r w:rsidR="00E803D8" w:rsidRPr="00E803D8">
        <w:rPr>
          <w:rFonts w:ascii="Liberation Serif" w:hAnsi="Liberation Serif"/>
          <w:bCs/>
          <w:color w:val="000000"/>
        </w:rPr>
        <w:t>3</w:t>
      </w:r>
      <w:r w:rsidRPr="0067047E">
        <w:rPr>
          <w:rFonts w:ascii="Liberation Serif" w:hAnsi="Liberation Serif"/>
          <w:bCs/>
          <w:color w:val="000000"/>
        </w:rPr>
        <w:t xml:space="preserve"> год</w:t>
      </w:r>
    </w:p>
    <w:p w:rsidR="0067047E" w:rsidRPr="0067047E" w:rsidRDefault="0067047E" w:rsidP="0067047E">
      <w:pPr>
        <w:ind w:firstLine="709"/>
        <w:jc w:val="both"/>
        <w:rPr>
          <w:rFonts w:ascii="Liberation Serif" w:hAnsi="Liberation Serif"/>
          <w:color w:val="000000"/>
        </w:rPr>
      </w:pPr>
    </w:p>
    <w:tbl>
      <w:tblPr>
        <w:tblW w:w="14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1335"/>
        <w:gridCol w:w="2150"/>
        <w:gridCol w:w="3659"/>
        <w:gridCol w:w="2358"/>
        <w:gridCol w:w="2138"/>
        <w:gridCol w:w="2082"/>
      </w:tblGrid>
      <w:tr w:rsidR="0067047E" w:rsidRPr="0067047E" w:rsidTr="00CE3340">
        <w:trPr>
          <w:trHeight w:val="450"/>
          <w:jc w:val="center"/>
        </w:trPr>
        <w:tc>
          <w:tcPr>
            <w:tcW w:w="914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1335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Уровень </w:t>
            </w:r>
          </w:p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риска</w:t>
            </w:r>
          </w:p>
        </w:tc>
        <w:tc>
          <w:tcPr>
            <w:tcW w:w="2150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Комплаенс</w:t>
            </w:r>
            <w:proofErr w:type="spellEnd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 </w:t>
            </w:r>
          </w:p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риск </w:t>
            </w:r>
          </w:p>
        </w:tc>
        <w:tc>
          <w:tcPr>
            <w:tcW w:w="3659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Причины (условия)</w:t>
            </w:r>
          </w:p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возникновения рисков</w:t>
            </w:r>
          </w:p>
        </w:tc>
        <w:tc>
          <w:tcPr>
            <w:tcW w:w="2358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Структурное подразделение, </w:t>
            </w:r>
          </w:p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 котором выявлены </w:t>
            </w:r>
            <w:proofErr w:type="spellStart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комплаенс</w:t>
            </w:r>
            <w:proofErr w:type="spellEnd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-риски</w:t>
            </w:r>
          </w:p>
        </w:tc>
        <w:tc>
          <w:tcPr>
            <w:tcW w:w="2138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Наличие (отсутствие) остаточных </w:t>
            </w:r>
            <w:proofErr w:type="spellStart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комплаенс</w:t>
            </w:r>
            <w:proofErr w:type="spellEnd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-рисков</w:t>
            </w:r>
          </w:p>
        </w:tc>
        <w:tc>
          <w:tcPr>
            <w:tcW w:w="2082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Вероятность повторного возникновения </w:t>
            </w:r>
            <w:proofErr w:type="spellStart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комплаенс</w:t>
            </w:r>
            <w:proofErr w:type="spellEnd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-риска</w:t>
            </w:r>
          </w:p>
        </w:tc>
      </w:tr>
      <w:tr w:rsidR="0067047E" w:rsidRPr="0067047E" w:rsidTr="00CE3340">
        <w:trPr>
          <w:trHeight w:val="450"/>
          <w:jc w:val="center"/>
        </w:trPr>
        <w:tc>
          <w:tcPr>
            <w:tcW w:w="914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5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0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59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38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2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67047E" w:rsidRPr="0067047E" w:rsidTr="00CE3340">
        <w:trPr>
          <w:trHeight w:val="450"/>
          <w:jc w:val="center"/>
        </w:trPr>
        <w:tc>
          <w:tcPr>
            <w:tcW w:w="914" w:type="dxa"/>
          </w:tcPr>
          <w:p w:rsidR="0067047E" w:rsidRPr="0067047E" w:rsidRDefault="0067047E" w:rsidP="0067047E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7047E" w:rsidRPr="0067047E" w:rsidRDefault="00840F21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>Высо</w:t>
            </w:r>
            <w:r w:rsidR="0067047E"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кий </w:t>
            </w:r>
          </w:p>
        </w:tc>
        <w:tc>
          <w:tcPr>
            <w:tcW w:w="2150" w:type="dxa"/>
          </w:tcPr>
          <w:p w:rsidR="0067047E" w:rsidRPr="0067047E" w:rsidRDefault="0067047E" w:rsidP="0067047E">
            <w:pPr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sz w:val="24"/>
              </w:rPr>
              <w:t xml:space="preserve">Разработка проектов нормативных правовых актов </w:t>
            </w:r>
            <w:r w:rsidR="000F2C08">
              <w:rPr>
                <w:rFonts w:ascii="Liberation Serif" w:hAnsi="Liberation Serif"/>
                <w:sz w:val="24"/>
              </w:rPr>
              <w:t xml:space="preserve">         </w:t>
            </w:r>
            <w:r w:rsidRPr="0067047E">
              <w:rPr>
                <w:rFonts w:ascii="Liberation Serif" w:hAnsi="Liberation Serif"/>
                <w:sz w:val="24"/>
              </w:rPr>
              <w:t xml:space="preserve">с нарушением требований антимонопольного законодательства </w:t>
            </w:r>
          </w:p>
        </w:tc>
        <w:tc>
          <w:tcPr>
            <w:tcW w:w="3659" w:type="dxa"/>
          </w:tcPr>
          <w:p w:rsidR="0067047E" w:rsidRPr="0067047E" w:rsidRDefault="0067047E" w:rsidP="0067047E">
            <w:pPr>
              <w:tabs>
                <w:tab w:val="left" w:pos="423"/>
              </w:tabs>
              <w:ind w:right="36"/>
              <w:jc w:val="both"/>
              <w:rPr>
                <w:rFonts w:ascii="Liberation Serif" w:hAnsi="Liberation Serif"/>
                <w:sz w:val="24"/>
              </w:rPr>
            </w:pPr>
            <w:r w:rsidRPr="0067047E">
              <w:rPr>
                <w:rFonts w:ascii="Liberation Serif" w:hAnsi="Liberation Serif"/>
                <w:sz w:val="24"/>
              </w:rPr>
              <w:t>Ошибочное применение и (или) толкование норм материального права, которые могут привести к нарушению антимонопольного законодательства</w:t>
            </w:r>
          </w:p>
          <w:p w:rsidR="0067047E" w:rsidRPr="0067047E" w:rsidRDefault="0067047E" w:rsidP="0067047E">
            <w:pPr>
              <w:tabs>
                <w:tab w:val="left" w:pos="423"/>
              </w:tabs>
              <w:ind w:right="36"/>
              <w:jc w:val="both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358" w:type="dxa"/>
          </w:tcPr>
          <w:p w:rsidR="00351B16" w:rsidRPr="0067047E" w:rsidRDefault="00351B16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38" w:type="dxa"/>
          </w:tcPr>
          <w:p w:rsidR="0067047E" w:rsidRPr="00351B16" w:rsidRDefault="006D33AF" w:rsidP="0067047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2"/>
                <w:szCs w:val="20"/>
              </w:rPr>
            </w:pPr>
            <w:r w:rsidRPr="0067047E">
              <w:rPr>
                <w:rFonts w:ascii="Liberation Serif" w:hAnsi="Liberation Serif" w:cs="Calibri"/>
                <w:sz w:val="24"/>
                <w:szCs w:val="20"/>
              </w:rPr>
              <w:t>Возможен</w:t>
            </w:r>
          </w:p>
        </w:tc>
        <w:tc>
          <w:tcPr>
            <w:tcW w:w="2082" w:type="dxa"/>
          </w:tcPr>
          <w:p w:rsidR="0067047E" w:rsidRPr="0067047E" w:rsidRDefault="006C685E" w:rsidP="0067047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2"/>
                <w:szCs w:val="20"/>
              </w:rPr>
            </w:pPr>
            <w:r>
              <w:rPr>
                <w:rFonts w:ascii="Liberation Serif" w:hAnsi="Liberation Serif" w:cs="Calibri"/>
                <w:sz w:val="24"/>
                <w:szCs w:val="20"/>
              </w:rPr>
              <w:t>Высо</w:t>
            </w:r>
            <w:r w:rsidR="0067047E" w:rsidRPr="0067047E">
              <w:rPr>
                <w:rFonts w:ascii="Liberation Serif" w:hAnsi="Liberation Serif" w:cs="Calibri"/>
                <w:sz w:val="24"/>
                <w:szCs w:val="20"/>
              </w:rPr>
              <w:t>кая</w:t>
            </w:r>
          </w:p>
        </w:tc>
      </w:tr>
      <w:tr w:rsidR="0067047E" w:rsidRPr="0067047E" w:rsidTr="00CE3340">
        <w:trPr>
          <w:trHeight w:val="450"/>
          <w:jc w:val="center"/>
        </w:trPr>
        <w:tc>
          <w:tcPr>
            <w:tcW w:w="914" w:type="dxa"/>
          </w:tcPr>
          <w:p w:rsidR="0067047E" w:rsidRPr="00F57BAF" w:rsidRDefault="0067047E" w:rsidP="0067047E">
            <w:pPr>
              <w:numPr>
                <w:ilvl w:val="0"/>
                <w:numId w:val="1"/>
              </w:numPr>
              <w:jc w:val="center"/>
              <w:rPr>
                <w:rFonts w:ascii="Liberation Serif" w:hAnsi="Liberation Serif"/>
                <w:color w:val="FF0000"/>
                <w:sz w:val="24"/>
                <w:szCs w:val="24"/>
              </w:rPr>
            </w:pPr>
          </w:p>
        </w:tc>
        <w:tc>
          <w:tcPr>
            <w:tcW w:w="1335" w:type="dxa"/>
          </w:tcPr>
          <w:p w:rsidR="0067047E" w:rsidRPr="00D37BFE" w:rsidRDefault="0067047E" w:rsidP="0067047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D37BFE">
              <w:rPr>
                <w:rFonts w:ascii="Liberation Serif" w:hAnsi="Liberation Serif"/>
                <w:sz w:val="24"/>
                <w:szCs w:val="24"/>
              </w:rPr>
              <w:t>Высокий</w:t>
            </w:r>
          </w:p>
        </w:tc>
        <w:tc>
          <w:tcPr>
            <w:tcW w:w="2150" w:type="dxa"/>
          </w:tcPr>
          <w:p w:rsidR="0067047E" w:rsidRPr="00D37BFE" w:rsidRDefault="0067047E" w:rsidP="0067047E">
            <w:pPr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D37BFE">
              <w:rPr>
                <w:rFonts w:ascii="Liberation Serif" w:hAnsi="Liberation Serif"/>
                <w:sz w:val="24"/>
                <w:szCs w:val="24"/>
              </w:rPr>
              <w:t>Нарушение антимонопольного законодательства при подготовке ответов на обращения граждан и юридических лиц</w:t>
            </w:r>
          </w:p>
        </w:tc>
        <w:tc>
          <w:tcPr>
            <w:tcW w:w="3659" w:type="dxa"/>
          </w:tcPr>
          <w:p w:rsidR="0067047E" w:rsidRPr="00D37BFE" w:rsidRDefault="0067047E" w:rsidP="0067047E">
            <w:pPr>
              <w:tabs>
                <w:tab w:val="left" w:pos="423"/>
              </w:tabs>
              <w:ind w:right="36"/>
              <w:jc w:val="both"/>
              <w:rPr>
                <w:rFonts w:ascii="Liberation Serif" w:hAnsi="Liberation Serif"/>
                <w:sz w:val="24"/>
              </w:rPr>
            </w:pPr>
            <w:r w:rsidRPr="00D37BFE">
              <w:rPr>
                <w:rFonts w:ascii="Liberation Serif" w:hAnsi="Liberation Serif"/>
                <w:sz w:val="24"/>
              </w:rPr>
              <w:t>Нарушение сроков рассмотрения обращений граждан и юридических лиц;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</w:t>
            </w:r>
          </w:p>
          <w:p w:rsidR="0067047E" w:rsidRPr="00D37BFE" w:rsidRDefault="0067047E" w:rsidP="0067047E">
            <w:pPr>
              <w:tabs>
                <w:tab w:val="left" w:pos="423"/>
              </w:tabs>
              <w:ind w:right="36"/>
              <w:jc w:val="both"/>
              <w:rPr>
                <w:rFonts w:ascii="Liberation Serif" w:hAnsi="Liberation Serif"/>
                <w:sz w:val="24"/>
              </w:rPr>
            </w:pPr>
            <w:r w:rsidRPr="00D37BFE">
              <w:rPr>
                <w:rFonts w:ascii="Liberation Serif" w:hAnsi="Liberation Serif"/>
                <w:sz w:val="24"/>
              </w:rPr>
              <w:t>(1. Срок подготовки ответа на обращение может увеличиваться при необходимости запроса информации у других хозяйствующих субъектов.</w:t>
            </w:r>
          </w:p>
          <w:p w:rsidR="0067047E" w:rsidRPr="00D37BFE" w:rsidRDefault="0067047E" w:rsidP="00840F21">
            <w:pPr>
              <w:tabs>
                <w:tab w:val="left" w:pos="423"/>
              </w:tabs>
              <w:ind w:right="36"/>
              <w:jc w:val="both"/>
              <w:rPr>
                <w:rFonts w:ascii="Liberation Serif" w:hAnsi="Liberation Serif"/>
                <w:sz w:val="24"/>
              </w:rPr>
            </w:pPr>
            <w:r w:rsidRPr="00D37BFE">
              <w:rPr>
                <w:rFonts w:ascii="Liberation Serif" w:hAnsi="Liberation Serif"/>
                <w:sz w:val="24"/>
              </w:rPr>
              <w:t xml:space="preserve">2. Влияние субъективных факторов (эмоциональное </w:t>
            </w:r>
            <w:r w:rsidRPr="00D37BFE">
              <w:rPr>
                <w:rFonts w:ascii="Liberation Serif" w:hAnsi="Liberation Serif"/>
                <w:sz w:val="24"/>
              </w:rPr>
              <w:lastRenderedPageBreak/>
              <w:t xml:space="preserve">восприятие информации, личная заинтересованность в результатах рассмотрения обращения гражданина или юридического лица, иных обстоятельств) </w:t>
            </w:r>
          </w:p>
        </w:tc>
        <w:tc>
          <w:tcPr>
            <w:tcW w:w="2358" w:type="dxa"/>
          </w:tcPr>
          <w:p w:rsidR="0067047E" w:rsidRPr="00D37BFE" w:rsidRDefault="0067047E" w:rsidP="00A448D0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138" w:type="dxa"/>
          </w:tcPr>
          <w:p w:rsidR="0067047E" w:rsidRPr="00D37BFE" w:rsidRDefault="0067047E" w:rsidP="0067047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4"/>
                <w:szCs w:val="20"/>
              </w:rPr>
            </w:pPr>
            <w:r w:rsidRPr="00D37BFE">
              <w:rPr>
                <w:rFonts w:ascii="Liberation Serif" w:hAnsi="Liberation Serif" w:cs="Calibri"/>
                <w:sz w:val="24"/>
                <w:szCs w:val="24"/>
              </w:rPr>
              <w:t>Возможен</w:t>
            </w:r>
          </w:p>
        </w:tc>
        <w:tc>
          <w:tcPr>
            <w:tcW w:w="2082" w:type="dxa"/>
          </w:tcPr>
          <w:p w:rsidR="0067047E" w:rsidRPr="00D37BFE" w:rsidRDefault="0067047E" w:rsidP="0067047E">
            <w:pPr>
              <w:widowControl w:val="0"/>
              <w:autoSpaceDE w:val="0"/>
              <w:autoSpaceDN w:val="0"/>
              <w:jc w:val="center"/>
              <w:rPr>
                <w:rFonts w:ascii="Liberation Serif" w:hAnsi="Liberation Serif" w:cs="Calibri"/>
                <w:sz w:val="24"/>
                <w:szCs w:val="20"/>
              </w:rPr>
            </w:pPr>
            <w:r w:rsidRPr="00D37BFE">
              <w:rPr>
                <w:rFonts w:ascii="Liberation Serif" w:hAnsi="Liberation Serif" w:cs="Calibri"/>
                <w:sz w:val="24"/>
                <w:szCs w:val="24"/>
              </w:rPr>
              <w:t>Высокая</w:t>
            </w:r>
          </w:p>
        </w:tc>
      </w:tr>
    </w:tbl>
    <w:p w:rsidR="0067047E" w:rsidRPr="0067047E" w:rsidRDefault="0067047E" w:rsidP="0067047E">
      <w:pPr>
        <w:tabs>
          <w:tab w:val="left" w:pos="5580"/>
        </w:tabs>
        <w:ind w:left="10206"/>
        <w:jc w:val="both"/>
        <w:rPr>
          <w:rFonts w:ascii="Liberation Serif" w:hAnsi="Liberation Serif"/>
        </w:rPr>
      </w:pPr>
    </w:p>
    <w:p w:rsidR="0067047E" w:rsidRPr="0067047E" w:rsidRDefault="0067047E" w:rsidP="0067047E">
      <w:pPr>
        <w:jc w:val="center"/>
        <w:rPr>
          <w:rFonts w:ascii="Liberation Serif" w:hAnsi="Liberation Serif"/>
          <w:color w:val="000000"/>
        </w:rPr>
      </w:pPr>
      <w:r w:rsidRPr="0067047E">
        <w:rPr>
          <w:rFonts w:ascii="Liberation Serif" w:hAnsi="Liberation Serif"/>
          <w:bCs/>
          <w:color w:val="000000"/>
        </w:rPr>
        <w:t xml:space="preserve">План мероприятий («дорожная карта») </w:t>
      </w:r>
      <w:r w:rsidRPr="0067047E">
        <w:rPr>
          <w:rFonts w:ascii="Liberation Serif" w:hAnsi="Liberation Serif"/>
          <w:color w:val="000000"/>
        </w:rPr>
        <w:t xml:space="preserve">по снижению рисков нарушения антимонопольного законодательства </w:t>
      </w:r>
    </w:p>
    <w:p w:rsidR="0067047E" w:rsidRPr="0067047E" w:rsidRDefault="0067047E" w:rsidP="0067047E">
      <w:pPr>
        <w:jc w:val="center"/>
        <w:rPr>
          <w:rFonts w:ascii="Liberation Serif" w:hAnsi="Liberation Serif"/>
          <w:bCs/>
          <w:color w:val="000000"/>
        </w:rPr>
      </w:pPr>
      <w:r w:rsidRPr="0067047E">
        <w:rPr>
          <w:rFonts w:ascii="Liberation Serif" w:hAnsi="Liberation Serif"/>
          <w:bCs/>
          <w:color w:val="000000"/>
        </w:rPr>
        <w:t xml:space="preserve">в </w:t>
      </w:r>
      <w:r w:rsidR="003402CD">
        <w:rPr>
          <w:rFonts w:ascii="Liberation Serif" w:hAnsi="Liberation Serif"/>
          <w:bCs/>
          <w:color w:val="000000"/>
        </w:rPr>
        <w:t>Думе Невьянского городского округа</w:t>
      </w:r>
      <w:r w:rsidRPr="0067047E">
        <w:rPr>
          <w:rFonts w:ascii="Liberation Serif" w:hAnsi="Liberation Serif"/>
          <w:color w:val="000000"/>
        </w:rPr>
        <w:br/>
      </w:r>
      <w:r w:rsidRPr="0067047E">
        <w:rPr>
          <w:rFonts w:ascii="Liberation Serif" w:hAnsi="Liberation Serif"/>
          <w:bCs/>
          <w:color w:val="000000"/>
        </w:rPr>
        <w:t>на 202</w:t>
      </w:r>
      <w:r w:rsidR="00E803D8">
        <w:rPr>
          <w:rFonts w:ascii="Liberation Serif" w:hAnsi="Liberation Serif"/>
          <w:bCs/>
          <w:color w:val="000000"/>
          <w:lang w:val="en-US"/>
        </w:rPr>
        <w:t>3</w:t>
      </w:r>
      <w:bookmarkStart w:id="0" w:name="_GoBack"/>
      <w:bookmarkEnd w:id="0"/>
      <w:r w:rsidRPr="0067047E">
        <w:rPr>
          <w:rFonts w:ascii="Liberation Serif" w:hAnsi="Liberation Serif"/>
          <w:bCs/>
          <w:color w:val="000000"/>
        </w:rPr>
        <w:t xml:space="preserve"> год</w:t>
      </w:r>
    </w:p>
    <w:p w:rsidR="0067047E" w:rsidRPr="0067047E" w:rsidRDefault="0067047E" w:rsidP="0067047E">
      <w:pPr>
        <w:ind w:firstLine="709"/>
        <w:jc w:val="center"/>
        <w:rPr>
          <w:rFonts w:ascii="Liberation Serif" w:hAnsi="Liberation Serif"/>
          <w:color w:val="000000"/>
        </w:rPr>
      </w:pPr>
    </w:p>
    <w:tbl>
      <w:tblPr>
        <w:tblW w:w="15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"/>
        <w:gridCol w:w="2280"/>
        <w:gridCol w:w="2601"/>
        <w:gridCol w:w="2829"/>
        <w:gridCol w:w="2305"/>
        <w:gridCol w:w="1933"/>
        <w:gridCol w:w="2150"/>
      </w:tblGrid>
      <w:tr w:rsidR="002075C2" w:rsidRPr="0067047E" w:rsidTr="00CE3340">
        <w:trPr>
          <w:trHeight w:val="539"/>
          <w:jc w:val="center"/>
        </w:trPr>
        <w:tc>
          <w:tcPr>
            <w:tcW w:w="914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Номер строки</w:t>
            </w:r>
          </w:p>
        </w:tc>
        <w:tc>
          <w:tcPr>
            <w:tcW w:w="2280" w:type="dxa"/>
          </w:tcPr>
          <w:p w:rsidR="0067047E" w:rsidRPr="0067047E" w:rsidRDefault="0067047E" w:rsidP="0067047E">
            <w:pPr>
              <w:ind w:left="-126" w:firstLine="126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proofErr w:type="spellStart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Комплаенс</w:t>
            </w:r>
            <w:proofErr w:type="spellEnd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 -</w:t>
            </w:r>
          </w:p>
          <w:p w:rsidR="0067047E" w:rsidRPr="0067047E" w:rsidRDefault="0067047E" w:rsidP="0067047E">
            <w:pPr>
              <w:ind w:left="-126" w:firstLine="126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риск</w:t>
            </w:r>
          </w:p>
        </w:tc>
        <w:tc>
          <w:tcPr>
            <w:tcW w:w="2601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Мероприятия по минимизации и устранению риска</w:t>
            </w:r>
          </w:p>
        </w:tc>
        <w:tc>
          <w:tcPr>
            <w:tcW w:w="2829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Описание действий</w:t>
            </w:r>
          </w:p>
        </w:tc>
        <w:tc>
          <w:tcPr>
            <w:tcW w:w="2305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933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2150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Показатель результата</w:t>
            </w:r>
          </w:p>
        </w:tc>
      </w:tr>
      <w:tr w:rsidR="002075C2" w:rsidRPr="0067047E" w:rsidTr="00CE3340">
        <w:trPr>
          <w:trHeight w:val="539"/>
          <w:jc w:val="center"/>
        </w:trPr>
        <w:tc>
          <w:tcPr>
            <w:tcW w:w="914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67047E" w:rsidRPr="0067047E" w:rsidRDefault="0067047E" w:rsidP="0067047E">
            <w:pPr>
              <w:ind w:left="-126" w:firstLine="126"/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01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05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33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0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7</w:t>
            </w:r>
          </w:p>
        </w:tc>
      </w:tr>
      <w:tr w:rsidR="002075C2" w:rsidRPr="0067047E" w:rsidTr="00CE3340">
        <w:trPr>
          <w:trHeight w:val="2573"/>
          <w:jc w:val="center"/>
        </w:trPr>
        <w:tc>
          <w:tcPr>
            <w:tcW w:w="914" w:type="dxa"/>
            <w:vMerge w:val="restart"/>
          </w:tcPr>
          <w:p w:rsidR="0067047E" w:rsidRPr="0067047E" w:rsidRDefault="0067047E" w:rsidP="0067047E">
            <w:pPr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 w:val="restart"/>
          </w:tcPr>
          <w:p w:rsidR="00C069C1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sz w:val="24"/>
                <w:szCs w:val="24"/>
              </w:rPr>
              <w:t xml:space="preserve">Разработка проектов нормативных правовых актов </w:t>
            </w:r>
          </w:p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sz w:val="24"/>
                <w:szCs w:val="24"/>
              </w:rPr>
              <w:t xml:space="preserve">с нарушением требований антимонопольного законодательства </w:t>
            </w:r>
          </w:p>
        </w:tc>
        <w:tc>
          <w:tcPr>
            <w:tcW w:w="2601" w:type="dxa"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1. Проведение анализа нормативных правовых актов и проектов нормативных правовых актов на предмет соответствия антимонопольному законодательству</w:t>
            </w:r>
          </w:p>
        </w:tc>
        <w:tc>
          <w:tcPr>
            <w:tcW w:w="2829" w:type="dxa"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1. Проведение мониторинга и анализа практики применения антимонопольного законодательства.</w:t>
            </w:r>
          </w:p>
          <w:p w:rsidR="0067047E" w:rsidRPr="0067047E" w:rsidRDefault="0067047E" w:rsidP="0067047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 w:cs="Calibri"/>
                <w:color w:val="000000"/>
                <w:sz w:val="24"/>
                <w:szCs w:val="24"/>
              </w:rPr>
              <w:t>2. Проведение процедуры согласования проектов нормативных правовых актов</w:t>
            </w:r>
          </w:p>
        </w:tc>
        <w:tc>
          <w:tcPr>
            <w:tcW w:w="2305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Сотрудник, ответственный </w:t>
            </w:r>
          </w:p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за подготовку </w:t>
            </w:r>
            <w:r w:rsidRPr="0067047E">
              <w:rPr>
                <w:rFonts w:ascii="Liberation Serif" w:hAnsi="Liberation Serif"/>
                <w:sz w:val="24"/>
                <w:szCs w:val="24"/>
              </w:rPr>
              <w:t>проекта нормативного правового акта</w:t>
            </w:r>
          </w:p>
        </w:tc>
        <w:tc>
          <w:tcPr>
            <w:tcW w:w="1933" w:type="dxa"/>
            <w:vMerge w:val="restart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Постоянно </w:t>
            </w:r>
          </w:p>
        </w:tc>
        <w:tc>
          <w:tcPr>
            <w:tcW w:w="2150" w:type="dxa"/>
            <w:vMerge w:val="restart"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комплаенс</w:t>
            </w:r>
            <w:proofErr w:type="spellEnd"/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  <w:tr w:rsidR="002075C2" w:rsidRPr="0067047E" w:rsidTr="00CE3340">
        <w:trPr>
          <w:trHeight w:val="987"/>
          <w:jc w:val="center"/>
        </w:trPr>
        <w:tc>
          <w:tcPr>
            <w:tcW w:w="914" w:type="dxa"/>
            <w:vMerge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7047E" w:rsidRPr="0067047E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1" w:type="dxa"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2. Осуществление сбора и проведение анализа представленных замечаний и предложений организаций и граждан по перечню </w:t>
            </w: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lastRenderedPageBreak/>
              <w:t>нормативных правовых актов</w:t>
            </w:r>
          </w:p>
        </w:tc>
        <w:tc>
          <w:tcPr>
            <w:tcW w:w="2829" w:type="dxa"/>
          </w:tcPr>
          <w:p w:rsidR="0067047E" w:rsidRPr="0067047E" w:rsidRDefault="0067047E" w:rsidP="0067047E">
            <w:pPr>
              <w:widowControl w:val="0"/>
              <w:autoSpaceDE w:val="0"/>
              <w:autoSpaceDN w:val="0"/>
              <w:rPr>
                <w:rFonts w:ascii="Liberation Serif" w:hAnsi="Liberation Serif" w:cs="Calibri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 w:cs="Calibri"/>
                <w:color w:val="000000"/>
                <w:sz w:val="24"/>
                <w:szCs w:val="24"/>
              </w:rPr>
              <w:lastRenderedPageBreak/>
              <w:t>Организация сбора замечаний и предложений организаций и граждан по перечню нормативных правовых актов</w:t>
            </w:r>
          </w:p>
        </w:tc>
        <w:tc>
          <w:tcPr>
            <w:tcW w:w="2305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1933" w:type="dxa"/>
            <w:vMerge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2075C2" w:rsidRPr="0067047E" w:rsidTr="00CE3340">
        <w:trPr>
          <w:trHeight w:val="2263"/>
          <w:jc w:val="center"/>
        </w:trPr>
        <w:tc>
          <w:tcPr>
            <w:tcW w:w="914" w:type="dxa"/>
            <w:vMerge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vMerge/>
          </w:tcPr>
          <w:p w:rsidR="0067047E" w:rsidRPr="0067047E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601" w:type="dxa"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3. Правовая поддержка сотрудников, в чьи должностные обязанности входят полномочия по подготовке проектов нормативных правовых актов</w:t>
            </w:r>
          </w:p>
        </w:tc>
        <w:tc>
          <w:tcPr>
            <w:tcW w:w="2829" w:type="dxa"/>
          </w:tcPr>
          <w:p w:rsidR="00C069C1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Консультирование сотрудников </w:t>
            </w:r>
          </w:p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по подготовке проектов нормативных правовых актов</w:t>
            </w:r>
          </w:p>
        </w:tc>
        <w:tc>
          <w:tcPr>
            <w:tcW w:w="2305" w:type="dxa"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 w:rsidRPr="0067047E">
              <w:rPr>
                <w:rFonts w:ascii="Liberation Serif" w:hAnsi="Liberation Serif"/>
                <w:color w:val="000000"/>
                <w:sz w:val="24"/>
                <w:szCs w:val="24"/>
              </w:rPr>
              <w:t>Сотрудники юридического отдела администрации Невьянского городского округа</w:t>
            </w:r>
          </w:p>
        </w:tc>
        <w:tc>
          <w:tcPr>
            <w:tcW w:w="1933" w:type="dxa"/>
            <w:vMerge/>
          </w:tcPr>
          <w:p w:rsidR="0067047E" w:rsidRPr="0067047E" w:rsidRDefault="0067047E" w:rsidP="0067047E">
            <w:p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67047E" w:rsidRPr="0067047E" w:rsidRDefault="0067047E" w:rsidP="0067047E">
            <w:pPr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</w:tr>
      <w:tr w:rsidR="00F57BAF" w:rsidRPr="00F57BAF" w:rsidTr="00CE3340">
        <w:trPr>
          <w:trHeight w:val="2603"/>
          <w:jc w:val="center"/>
        </w:trPr>
        <w:tc>
          <w:tcPr>
            <w:tcW w:w="914" w:type="dxa"/>
          </w:tcPr>
          <w:p w:rsidR="0067047E" w:rsidRPr="0067047E" w:rsidRDefault="0067047E" w:rsidP="0067047E">
            <w:pPr>
              <w:numPr>
                <w:ilvl w:val="0"/>
                <w:numId w:val="2"/>
              </w:numPr>
              <w:jc w:val="center"/>
              <w:rPr>
                <w:rFonts w:ascii="Liberation Serif" w:hAnsi="Liberation Serif"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</w:tcPr>
          <w:p w:rsidR="0067047E" w:rsidRPr="00332CF8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  <w:r w:rsidRPr="00332CF8">
              <w:rPr>
                <w:rFonts w:ascii="Liberation Serif" w:hAnsi="Liberation Serif"/>
                <w:sz w:val="24"/>
                <w:szCs w:val="24"/>
              </w:rPr>
              <w:t>Нарушение антимонопольного законодательства при подготовке ответов на обращения граждан и юридических лиц</w:t>
            </w:r>
          </w:p>
        </w:tc>
        <w:tc>
          <w:tcPr>
            <w:tcW w:w="2601" w:type="dxa"/>
          </w:tcPr>
          <w:p w:rsidR="006C685E" w:rsidRPr="00332CF8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  <w:r w:rsidRPr="00332CF8">
              <w:rPr>
                <w:rFonts w:ascii="Liberation Serif" w:hAnsi="Liberation Serif"/>
                <w:sz w:val="24"/>
                <w:szCs w:val="24"/>
              </w:rPr>
              <w:t xml:space="preserve">Осуществление текущего контроля </w:t>
            </w:r>
          </w:p>
          <w:p w:rsidR="0067047E" w:rsidRPr="00332CF8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  <w:r w:rsidRPr="00332CF8">
              <w:rPr>
                <w:rFonts w:ascii="Liberation Serif" w:hAnsi="Liberation Serif"/>
                <w:sz w:val="24"/>
                <w:szCs w:val="24"/>
              </w:rPr>
              <w:t>за рассмотрением обращений граждан и юридических лиц</w:t>
            </w:r>
          </w:p>
        </w:tc>
        <w:tc>
          <w:tcPr>
            <w:tcW w:w="2829" w:type="dxa"/>
          </w:tcPr>
          <w:p w:rsidR="00C069C1" w:rsidRPr="00332CF8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  <w:r w:rsidRPr="00332CF8">
              <w:rPr>
                <w:rFonts w:ascii="Liberation Serif" w:hAnsi="Liberation Serif"/>
                <w:sz w:val="24"/>
                <w:szCs w:val="24"/>
              </w:rPr>
              <w:t xml:space="preserve">Обеспечение текущего контроля исполнения сроков подготовки ответов на обращения граждан и юридических лиц, принятие мер </w:t>
            </w:r>
          </w:p>
          <w:p w:rsidR="0067047E" w:rsidRPr="00332CF8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  <w:r w:rsidRPr="00332CF8">
              <w:rPr>
                <w:rFonts w:ascii="Liberation Serif" w:hAnsi="Liberation Serif"/>
                <w:sz w:val="24"/>
                <w:szCs w:val="24"/>
              </w:rPr>
              <w:t>по повышению результативности работы с обращениями</w:t>
            </w:r>
          </w:p>
        </w:tc>
        <w:tc>
          <w:tcPr>
            <w:tcW w:w="2305" w:type="dxa"/>
          </w:tcPr>
          <w:p w:rsidR="0067047E" w:rsidRPr="00332CF8" w:rsidRDefault="0067047E" w:rsidP="00332CF8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933" w:type="dxa"/>
          </w:tcPr>
          <w:p w:rsidR="0067047E" w:rsidRPr="00332CF8" w:rsidRDefault="0067047E" w:rsidP="0067047E">
            <w:pPr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332CF8">
              <w:rPr>
                <w:rFonts w:ascii="Liberation Serif" w:hAnsi="Liberation Serif"/>
                <w:sz w:val="24"/>
                <w:szCs w:val="24"/>
              </w:rPr>
              <w:t>Постоянно</w:t>
            </w:r>
          </w:p>
        </w:tc>
        <w:tc>
          <w:tcPr>
            <w:tcW w:w="2150" w:type="dxa"/>
          </w:tcPr>
          <w:p w:rsidR="0067047E" w:rsidRPr="00332CF8" w:rsidRDefault="0067047E" w:rsidP="0067047E">
            <w:pPr>
              <w:rPr>
                <w:rFonts w:ascii="Liberation Serif" w:hAnsi="Liberation Serif"/>
                <w:sz w:val="24"/>
                <w:szCs w:val="24"/>
              </w:rPr>
            </w:pPr>
            <w:r w:rsidRPr="00332CF8">
              <w:rPr>
                <w:rFonts w:ascii="Liberation Serif" w:hAnsi="Liberation Serif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332CF8">
              <w:rPr>
                <w:rFonts w:ascii="Liberation Serif" w:hAnsi="Liberation Serif"/>
                <w:sz w:val="24"/>
                <w:szCs w:val="24"/>
              </w:rPr>
              <w:t>комплаенс</w:t>
            </w:r>
            <w:proofErr w:type="spellEnd"/>
            <w:r w:rsidRPr="00332CF8">
              <w:rPr>
                <w:rFonts w:ascii="Liberation Serif" w:hAnsi="Liberation Serif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</w:tbl>
    <w:p w:rsidR="00335157" w:rsidRPr="00F4463D" w:rsidRDefault="00335157" w:rsidP="00732888">
      <w:pPr>
        <w:rPr>
          <w:rFonts w:ascii="Liberation Serif" w:hAnsi="Liberation Serif"/>
        </w:rPr>
      </w:pPr>
    </w:p>
    <w:sectPr w:rsidR="00335157" w:rsidRPr="00F4463D" w:rsidSect="00116311">
      <w:headerReference w:type="default" r:id="rId8"/>
      <w:pgSz w:w="16838" w:h="11906" w:orient="landscape"/>
      <w:pgMar w:top="1701" w:right="425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311" w:rsidRDefault="00116311" w:rsidP="00116311">
      <w:r>
        <w:separator/>
      </w:r>
    </w:p>
  </w:endnote>
  <w:endnote w:type="continuationSeparator" w:id="0">
    <w:p w:rsidR="00116311" w:rsidRDefault="00116311" w:rsidP="00116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311" w:rsidRDefault="00116311" w:rsidP="00116311">
      <w:r>
        <w:separator/>
      </w:r>
    </w:p>
  </w:footnote>
  <w:footnote w:type="continuationSeparator" w:id="0">
    <w:p w:rsidR="00116311" w:rsidRDefault="00116311" w:rsidP="00116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9419958"/>
      <w:docPartObj>
        <w:docPartGallery w:val="Page Numbers (Top of Page)"/>
        <w:docPartUnique/>
      </w:docPartObj>
    </w:sdtPr>
    <w:sdtEndPr/>
    <w:sdtContent>
      <w:p w:rsidR="00116311" w:rsidRDefault="001163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3D8">
          <w:rPr>
            <w:noProof/>
          </w:rPr>
          <w:t>3</w:t>
        </w:r>
        <w:r>
          <w:fldChar w:fldCharType="end"/>
        </w:r>
      </w:p>
    </w:sdtContent>
  </w:sdt>
  <w:p w:rsidR="00116311" w:rsidRDefault="0011631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B1B95"/>
    <w:multiLevelType w:val="hybridMultilevel"/>
    <w:tmpl w:val="C396E5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3500711C"/>
    <w:multiLevelType w:val="hybridMultilevel"/>
    <w:tmpl w:val="AACE1898"/>
    <w:lvl w:ilvl="0" w:tplc="FE303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1C1"/>
    <w:rsid w:val="00003AC2"/>
    <w:rsid w:val="000B6421"/>
    <w:rsid w:val="000B7122"/>
    <w:rsid w:val="000D01CD"/>
    <w:rsid w:val="000F2C08"/>
    <w:rsid w:val="000F773A"/>
    <w:rsid w:val="00116311"/>
    <w:rsid w:val="0013687C"/>
    <w:rsid w:val="001473E4"/>
    <w:rsid w:val="00170DA8"/>
    <w:rsid w:val="00190162"/>
    <w:rsid w:val="001A624D"/>
    <w:rsid w:val="001C3792"/>
    <w:rsid w:val="001D67B8"/>
    <w:rsid w:val="00201212"/>
    <w:rsid w:val="00203140"/>
    <w:rsid w:val="00203FE8"/>
    <w:rsid w:val="002075C2"/>
    <w:rsid w:val="00246218"/>
    <w:rsid w:val="0028662D"/>
    <w:rsid w:val="00290092"/>
    <w:rsid w:val="002B4828"/>
    <w:rsid w:val="00302DD3"/>
    <w:rsid w:val="0030459A"/>
    <w:rsid w:val="00324448"/>
    <w:rsid w:val="003262A6"/>
    <w:rsid w:val="00332CF8"/>
    <w:rsid w:val="0033333D"/>
    <w:rsid w:val="00335157"/>
    <w:rsid w:val="003402CD"/>
    <w:rsid w:val="0034061C"/>
    <w:rsid w:val="0034747B"/>
    <w:rsid w:val="00351B16"/>
    <w:rsid w:val="0035510D"/>
    <w:rsid w:val="00361D9B"/>
    <w:rsid w:val="00374EE8"/>
    <w:rsid w:val="003832BB"/>
    <w:rsid w:val="00386038"/>
    <w:rsid w:val="00391293"/>
    <w:rsid w:val="003C4CB4"/>
    <w:rsid w:val="003D7A9B"/>
    <w:rsid w:val="0041085A"/>
    <w:rsid w:val="00420D4F"/>
    <w:rsid w:val="004279CC"/>
    <w:rsid w:val="004531C1"/>
    <w:rsid w:val="00464CB7"/>
    <w:rsid w:val="00465F3B"/>
    <w:rsid w:val="00470859"/>
    <w:rsid w:val="00477AE5"/>
    <w:rsid w:val="004B33B5"/>
    <w:rsid w:val="004E482D"/>
    <w:rsid w:val="005729F2"/>
    <w:rsid w:val="005B761F"/>
    <w:rsid w:val="005B7D37"/>
    <w:rsid w:val="005C5C46"/>
    <w:rsid w:val="005F3B35"/>
    <w:rsid w:val="005F5545"/>
    <w:rsid w:val="00624676"/>
    <w:rsid w:val="0067047E"/>
    <w:rsid w:val="00683FCA"/>
    <w:rsid w:val="006B1B8A"/>
    <w:rsid w:val="006C685E"/>
    <w:rsid w:val="006D33AF"/>
    <w:rsid w:val="00732888"/>
    <w:rsid w:val="0076659F"/>
    <w:rsid w:val="00775580"/>
    <w:rsid w:val="007B08E2"/>
    <w:rsid w:val="007E5A24"/>
    <w:rsid w:val="0080794B"/>
    <w:rsid w:val="00822206"/>
    <w:rsid w:val="00840F21"/>
    <w:rsid w:val="00847078"/>
    <w:rsid w:val="008745EC"/>
    <w:rsid w:val="008921B3"/>
    <w:rsid w:val="00897019"/>
    <w:rsid w:val="008A76C1"/>
    <w:rsid w:val="008D1270"/>
    <w:rsid w:val="008D56ED"/>
    <w:rsid w:val="00927DDA"/>
    <w:rsid w:val="0095396A"/>
    <w:rsid w:val="00956272"/>
    <w:rsid w:val="009A7454"/>
    <w:rsid w:val="009C346B"/>
    <w:rsid w:val="009D4875"/>
    <w:rsid w:val="009E49E0"/>
    <w:rsid w:val="00A10719"/>
    <w:rsid w:val="00A2091B"/>
    <w:rsid w:val="00A25569"/>
    <w:rsid w:val="00A448D0"/>
    <w:rsid w:val="00A555DF"/>
    <w:rsid w:val="00A732BE"/>
    <w:rsid w:val="00AB253C"/>
    <w:rsid w:val="00AC5B86"/>
    <w:rsid w:val="00AD3A18"/>
    <w:rsid w:val="00AD5DA8"/>
    <w:rsid w:val="00AE4627"/>
    <w:rsid w:val="00AE7D5C"/>
    <w:rsid w:val="00AF3B8B"/>
    <w:rsid w:val="00B010D1"/>
    <w:rsid w:val="00B35F9E"/>
    <w:rsid w:val="00B617C6"/>
    <w:rsid w:val="00B6751A"/>
    <w:rsid w:val="00B8334B"/>
    <w:rsid w:val="00B87635"/>
    <w:rsid w:val="00B96B3B"/>
    <w:rsid w:val="00B97590"/>
    <w:rsid w:val="00BA0E8D"/>
    <w:rsid w:val="00BC6DE0"/>
    <w:rsid w:val="00C069C1"/>
    <w:rsid w:val="00C249AB"/>
    <w:rsid w:val="00C36513"/>
    <w:rsid w:val="00C823EA"/>
    <w:rsid w:val="00C937B9"/>
    <w:rsid w:val="00CE41FA"/>
    <w:rsid w:val="00D04414"/>
    <w:rsid w:val="00D245C7"/>
    <w:rsid w:val="00D31007"/>
    <w:rsid w:val="00D37BFE"/>
    <w:rsid w:val="00D611D8"/>
    <w:rsid w:val="00D644F4"/>
    <w:rsid w:val="00D729FC"/>
    <w:rsid w:val="00D749E2"/>
    <w:rsid w:val="00D75B45"/>
    <w:rsid w:val="00D86600"/>
    <w:rsid w:val="00D9380A"/>
    <w:rsid w:val="00D97432"/>
    <w:rsid w:val="00DB1B9F"/>
    <w:rsid w:val="00DD753E"/>
    <w:rsid w:val="00E05656"/>
    <w:rsid w:val="00E14AF6"/>
    <w:rsid w:val="00E15589"/>
    <w:rsid w:val="00E33005"/>
    <w:rsid w:val="00E40913"/>
    <w:rsid w:val="00E51103"/>
    <w:rsid w:val="00E63F39"/>
    <w:rsid w:val="00E803D8"/>
    <w:rsid w:val="00E957DC"/>
    <w:rsid w:val="00EB0EEA"/>
    <w:rsid w:val="00EC26E3"/>
    <w:rsid w:val="00EC600D"/>
    <w:rsid w:val="00EC75D1"/>
    <w:rsid w:val="00ED04E7"/>
    <w:rsid w:val="00F007F9"/>
    <w:rsid w:val="00F04215"/>
    <w:rsid w:val="00F4463D"/>
    <w:rsid w:val="00F57BAF"/>
    <w:rsid w:val="00F70D54"/>
    <w:rsid w:val="00F81CE2"/>
    <w:rsid w:val="00F963B2"/>
    <w:rsid w:val="00FB4758"/>
    <w:rsid w:val="00FC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C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37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49AB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249AB"/>
    <w:rPr>
      <w:rFonts w:ascii="Arial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B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B8A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6704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047E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163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631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163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6311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C1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37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C249AB"/>
    <w:pPr>
      <w:spacing w:line="312" w:lineRule="auto"/>
      <w:ind w:firstLine="397"/>
      <w:jc w:val="both"/>
    </w:pPr>
    <w:rPr>
      <w:rFonts w:ascii="Arial" w:hAnsi="Arial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249AB"/>
    <w:rPr>
      <w:rFonts w:ascii="Arial" w:hAnsi="Arial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1B8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1B8A"/>
    <w:rPr>
      <w:rFonts w:ascii="Segoe UI" w:eastAsia="Times New Roman" w:hAnsi="Segoe UI" w:cs="Segoe UI"/>
      <w:sz w:val="18"/>
      <w:szCs w:val="18"/>
    </w:rPr>
  </w:style>
  <w:style w:type="paragraph" w:styleId="2">
    <w:name w:val="Body Text 2"/>
    <w:basedOn w:val="a"/>
    <w:link w:val="20"/>
    <w:uiPriority w:val="99"/>
    <w:semiHidden/>
    <w:unhideWhenUsed/>
    <w:rsid w:val="0067047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67047E"/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1163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16311"/>
    <w:rPr>
      <w:rFonts w:ascii="Times New Roman" w:eastAsia="Times New Roman" w:hAnsi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1163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16311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370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Nadegda F. Dundina</dc:creator>
  <cp:keywords/>
  <dc:description/>
  <cp:lastModifiedBy>Nadegda A. Alexandrova</cp:lastModifiedBy>
  <cp:revision>6</cp:revision>
  <cp:lastPrinted>2021-12-09T10:40:00Z</cp:lastPrinted>
  <dcterms:created xsi:type="dcterms:W3CDTF">2022-12-16T05:15:00Z</dcterms:created>
  <dcterms:modified xsi:type="dcterms:W3CDTF">2024-02-02T09:34:00Z</dcterms:modified>
</cp:coreProperties>
</file>